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приложение-1"/>
    <w:p>
      <w:pPr>
        <w:pStyle w:val="Heading1"/>
      </w:pPr>
      <w:r>
        <w:t xml:space="preserve">ПРИЛОЖЕНИЕ №1</w:t>
      </w:r>
    </w:p>
    <w:bookmarkStart w:id="9" w:name="Xbfe48ad5b264c1d81d5b262cb2f04c566d15cad"/>
    <w:p>
      <w:pPr>
        <w:pStyle w:val="Heading2"/>
      </w:pPr>
      <w:r>
        <w:t xml:space="preserve">к договору возмездного оказания услуг № [номер]</w:t>
      </w:r>
    </w:p>
    <w:p>
      <w:pPr>
        <w:pStyle w:val="FirstParagraph"/>
      </w:pPr>
      <w:r>
        <w:t xml:space="preserve">Данное приложение регламентирует сроки, стоимость и объем работ первого этапа разработки [предмет работ, например «интернет-магазина»] для Заказчика.</w:t>
      </w:r>
    </w:p>
    <w:p>
      <w:r>
        <w:pict>
          <v:rect style="width:0;height:1.5pt" o:hralign="center" o:hrstd="t" o:hr="t"/>
        </w:pict>
      </w:r>
    </w:p>
    <w:bookmarkEnd w:id="9"/>
    <w:bookmarkStart w:id="13" w:name="состав-работ"/>
    <w:p>
      <w:pPr>
        <w:pStyle w:val="Heading2"/>
      </w:pPr>
      <w:r>
        <w:t xml:space="preserve">1. СОСТАВ РАБОТ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Исполнитель обязуется провести подготовительный этап и разработать для Заказчика прототипы [предмет работ, например «интернет-магазина»], включающие следующие работы:</w:t>
      </w:r>
    </w:p>
    <w:bookmarkStart w:id="10" w:name="подготовительный-этап"/>
    <w:p>
      <w:pPr>
        <w:pStyle w:val="Heading3"/>
      </w:pPr>
      <w:r>
        <w:t xml:space="preserve">1.1.1. Подготовительный этап:</w:t>
      </w:r>
    </w:p>
    <w:p>
      <w:pPr>
        <w:pStyle w:val="Compact"/>
        <w:numPr>
          <w:ilvl w:val="0"/>
          <w:numId w:val="1001"/>
        </w:numPr>
      </w:pPr>
      <w:r>
        <w:t xml:space="preserve">Анализ [количество] основных конкурентов</w:t>
      </w:r>
    </w:p>
    <w:p>
      <w:pPr>
        <w:pStyle w:val="Compact"/>
        <w:numPr>
          <w:ilvl w:val="0"/>
          <w:numId w:val="1001"/>
        </w:numPr>
      </w:pPr>
      <w:r>
        <w:t xml:space="preserve">Изучение лучших практик представления товаров или услуг Заказчика в аналогичных проектах</w:t>
      </w:r>
    </w:p>
    <w:p>
      <w:pPr>
        <w:pStyle w:val="Compact"/>
        <w:numPr>
          <w:ilvl w:val="0"/>
          <w:numId w:val="1001"/>
        </w:numPr>
      </w:pPr>
      <w:r>
        <w:t xml:space="preserve">Детализация технического задания с учетом специфики бизнеса Заказчика</w:t>
      </w:r>
    </w:p>
    <w:p>
      <w:pPr>
        <w:pStyle w:val="Compact"/>
        <w:numPr>
          <w:ilvl w:val="0"/>
          <w:numId w:val="1001"/>
        </w:numPr>
      </w:pPr>
      <w:r>
        <w:t xml:space="preserve">Определение функциональных требований к сайту</w:t>
      </w:r>
    </w:p>
    <w:bookmarkEnd w:id="10"/>
    <w:bookmarkStart w:id="11" w:name="прототипирование"/>
    <w:p>
      <w:pPr>
        <w:pStyle w:val="Heading3"/>
      </w:pPr>
      <w:r>
        <w:t xml:space="preserve">1.1.2. Прототипирование:</w:t>
      </w:r>
    </w:p>
    <w:p>
      <w:pPr>
        <w:pStyle w:val="Compact"/>
        <w:numPr>
          <w:ilvl w:val="0"/>
          <w:numId w:val="1002"/>
        </w:numPr>
      </w:pPr>
      <w:r>
        <w:t xml:space="preserve">Создание структуры всего сайта и системы навигации</w:t>
      </w:r>
    </w:p>
    <w:p>
      <w:pPr>
        <w:pStyle w:val="Compact"/>
        <w:numPr>
          <w:ilvl w:val="0"/>
          <w:numId w:val="1002"/>
        </w:numPr>
      </w:pPr>
      <w:r>
        <w:t xml:space="preserve">Разработка прототипов следующих страниц сайта:</w:t>
      </w:r>
    </w:p>
    <w:p>
      <w:pPr>
        <w:pStyle w:val="Compact"/>
        <w:numPr>
          <w:ilvl w:val="1"/>
          <w:numId w:val="1003"/>
        </w:numPr>
      </w:pPr>
      <w:r>
        <w:t xml:space="preserve">Главная страница</w:t>
      </w:r>
    </w:p>
    <w:p>
      <w:pPr>
        <w:pStyle w:val="Compact"/>
        <w:numPr>
          <w:ilvl w:val="1"/>
          <w:numId w:val="1003"/>
        </w:numPr>
      </w:pPr>
      <w:r>
        <w:t xml:space="preserve">Каталог товаров</w:t>
      </w:r>
    </w:p>
    <w:p>
      <w:pPr>
        <w:pStyle w:val="Compact"/>
        <w:numPr>
          <w:ilvl w:val="1"/>
          <w:numId w:val="1003"/>
        </w:numPr>
      </w:pPr>
      <w:r>
        <w:t xml:space="preserve">Карточка товара</w:t>
      </w:r>
    </w:p>
    <w:p>
      <w:pPr>
        <w:pStyle w:val="Compact"/>
        <w:numPr>
          <w:ilvl w:val="1"/>
          <w:numId w:val="1003"/>
        </w:numPr>
      </w:pPr>
      <w:r>
        <w:t xml:space="preserve">Корзина</w:t>
      </w:r>
    </w:p>
    <w:p>
      <w:pPr>
        <w:pStyle w:val="Compact"/>
        <w:numPr>
          <w:ilvl w:val="1"/>
          <w:numId w:val="1003"/>
        </w:numPr>
      </w:pPr>
      <w:r>
        <w:t xml:space="preserve">Оформление заказа</w:t>
      </w:r>
    </w:p>
    <w:p>
      <w:pPr>
        <w:pStyle w:val="Compact"/>
        <w:numPr>
          <w:ilvl w:val="1"/>
          <w:numId w:val="1003"/>
        </w:numPr>
      </w:pPr>
      <w:r>
        <w:t xml:space="preserve">О компании</w:t>
      </w:r>
    </w:p>
    <w:p>
      <w:pPr>
        <w:pStyle w:val="Compact"/>
        <w:numPr>
          <w:ilvl w:val="1"/>
          <w:numId w:val="1003"/>
        </w:numPr>
      </w:pPr>
      <w:r>
        <w:t xml:space="preserve">Доставка и оплата</w:t>
      </w:r>
    </w:p>
    <w:p>
      <w:pPr>
        <w:pStyle w:val="Compact"/>
        <w:numPr>
          <w:ilvl w:val="1"/>
          <w:numId w:val="1003"/>
        </w:numPr>
      </w:pPr>
      <w:r>
        <w:t xml:space="preserve">Контакты</w:t>
      </w:r>
    </w:p>
    <w:p>
      <w:pPr>
        <w:pStyle w:val="Compact"/>
        <w:numPr>
          <w:ilvl w:val="1"/>
          <w:numId w:val="1003"/>
        </w:numPr>
      </w:pPr>
      <w:r>
        <w:t xml:space="preserve">Юридические страницы (единый прототип для: Политика конфиденциальности, Пользовательское соглашение, Публичная оферта, Политика возврата и обмена)</w:t>
      </w:r>
    </w:p>
    <w:bookmarkEnd w:id="11"/>
    <w:bookmarkStart w:id="12" w:name="Xfd0577736576c3bf40b7419ddd7c179de51337e"/>
    <w:p>
      <w:pPr>
        <w:pStyle w:val="Heading3"/>
      </w:pPr>
      <w:r>
        <w:t xml:space="preserve">1.1.3. Прототипирование личного кабинета покупателя (отдельный этап):</w:t>
      </w:r>
    </w:p>
    <w:p>
      <w:pPr>
        <w:pStyle w:val="Compact"/>
        <w:numPr>
          <w:ilvl w:val="0"/>
          <w:numId w:val="1004"/>
        </w:numPr>
      </w:pPr>
      <w:r>
        <w:t xml:space="preserve">Разработка прототипов страниц личного кабинета:</w:t>
      </w:r>
    </w:p>
    <w:p>
      <w:pPr>
        <w:pStyle w:val="Compact"/>
        <w:numPr>
          <w:ilvl w:val="1"/>
          <w:numId w:val="1005"/>
        </w:numPr>
      </w:pPr>
      <w:r>
        <w:t xml:space="preserve">Регистрация/Авторизация</w:t>
      </w:r>
    </w:p>
    <w:p>
      <w:pPr>
        <w:pStyle w:val="Compact"/>
        <w:numPr>
          <w:ilvl w:val="1"/>
          <w:numId w:val="1005"/>
        </w:numPr>
      </w:pPr>
      <w:r>
        <w:t xml:space="preserve">История заказов покупателя</w:t>
      </w:r>
    </w:p>
    <w:p>
      <w:pPr>
        <w:pStyle w:val="Compact"/>
        <w:numPr>
          <w:ilvl w:val="1"/>
          <w:numId w:val="1005"/>
        </w:numPr>
      </w:pPr>
      <w:r>
        <w:t xml:space="preserve">Базовые настройки профиля</w:t>
      </w:r>
    </w:p>
    <w:p>
      <w:pPr>
        <w:pStyle w:val="FirstParagraph"/>
      </w:pPr>
      <w:r>
        <w:rPr>
          <w:b/>
          <w:bCs/>
        </w:rPr>
        <w:t xml:space="preserve">1.1.4.</w:t>
      </w:r>
      <w:r>
        <w:t xml:space="preserve"> </w:t>
      </w:r>
      <w:r>
        <w:t xml:space="preserve">Проектирование системы фильтров и параметров каталога.</w:t>
      </w:r>
    </w:p>
    <w:p>
      <w:pPr>
        <w:pStyle w:val="BodyText"/>
      </w:pPr>
      <w:r>
        <w:rPr>
          <w:b/>
          <w:bCs/>
        </w:rPr>
        <w:t xml:space="preserve">1.1.5.</w:t>
      </w:r>
      <w:r>
        <w:t xml:space="preserve"> </w:t>
      </w:r>
      <w:r>
        <w:t xml:space="preserve">Согласование с Заказчиком концепции и внесение правок.</w:t>
      </w:r>
    </w:p>
    <w:p>
      <w:pPr>
        <w:pStyle w:val="BodyText"/>
      </w:pPr>
      <w:r>
        <w:rPr>
          <w:b/>
          <w:bCs/>
        </w:rPr>
        <w:t xml:space="preserve">1.2.</w:t>
      </w:r>
      <w:r>
        <w:t xml:space="preserve"> </w:t>
      </w:r>
      <w:r>
        <w:t xml:space="preserve">Прототипы представляются в виде электронных изображений (макеты страниц), демонстрирующих структуру, размещение элементов и логику работы сайта.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порядок-и-сроки-выполнения-работ"/>
    <w:p>
      <w:pPr>
        <w:pStyle w:val="Heading2"/>
      </w:pPr>
      <w:r>
        <w:t xml:space="preserve">2. ПОРЯДОК И СРОКИ ВЫПОЛНЕНИЯ РАБОТ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Исполнитель приступает к выполнению работ по настоящему Приложению с момента зачисления предоплаты на расчетный счет Исполнителя.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Срок выполнения всех работ, указанных в Настоящем Приложении, не превышает [срок] рабочих дней с момента начала работ в соответствии с п. 2.1 Настоящего Приложения и при условии отсутствия циклов внесения изменений в результат выполненных работ, а также при условии наличия обратной связи от Заказчика в течение 24 часов на запросы Исполнителя. При несоблюдении описанных выше условий срок выполнения может быть увеличен на количество дней вынужденного простоя Исполнителя или на количество дней, необходимых для внесения изменений в соответствии с пожеланиями или требованиями Заказчика.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Утверждение результатов работы Исполнителя Заказчиком производится путем подписи бумажной копии прототипов Заказчиком со словом «Утверждено», текущей датой и расшифровкой подписи, либо путем отправки электронных копий прототипов на e-mail Исполнителя, указанный в п. 11.5 Настоящего Договора, с e-mail представителя Заказчика, указанного в п. 11.6 Настоящего Договора.</w:t>
      </w:r>
    </w:p>
    <w:p>
      <w:pPr>
        <w:pStyle w:val="BodyText"/>
      </w:pPr>
      <w:r>
        <w:rPr>
          <w:b/>
          <w:bCs/>
        </w:rPr>
        <w:t xml:space="preserve">2.4.</w:t>
      </w:r>
      <w:r>
        <w:t xml:space="preserve"> </w:t>
      </w:r>
      <w:r>
        <w:t xml:space="preserve">Результат работы сдается Заказчику путем передачи электронной копии материалов подготовительного этапа и прототипов посредством электронной почты в соответствии с разделом 11 Настоящего Договора.</w:t>
      </w:r>
    </w:p>
    <w:p>
      <w:r>
        <w:pict>
          <v:rect style="width:0;height:1.5pt" o:hralign="center" o:hrstd="t" o:hr="t"/>
        </w:pict>
      </w:r>
    </w:p>
    <w:bookmarkEnd w:id="14"/>
    <w:bookmarkStart w:id="15" w:name="стоимость-и-порядок-расчетов"/>
    <w:p>
      <w:pPr>
        <w:pStyle w:val="Heading2"/>
      </w:pPr>
      <w:r>
        <w:t xml:space="preserve">3. СТОИМОСТЬ И ПОРЯДОК РАСЧЕТОВ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Стоимость работ, перечисленных в Настоящем Приложении, составляет</w:t>
      </w:r>
      <w:r>
        <w:t xml:space="preserve"> </w:t>
      </w:r>
      <w:r>
        <w:rPr>
          <w:b/>
          <w:bCs/>
        </w:rPr>
        <w:t xml:space="preserve">[стоимость этапа] рублей</w:t>
      </w:r>
      <w:r>
        <w:t xml:space="preserve">, НДС не облагается.</w:t>
      </w:r>
    </w:p>
    <w:p>
      <w:pPr>
        <w:pStyle w:val="BodyText"/>
      </w:pPr>
      <w:r>
        <w:t xml:space="preserve">В том числе:</w:t>
      </w:r>
    </w:p>
    <w:p>
      <w:pPr>
        <w:pStyle w:val="Compact"/>
        <w:numPr>
          <w:ilvl w:val="0"/>
          <w:numId w:val="1006"/>
        </w:numPr>
      </w:pPr>
      <w:r>
        <w:t xml:space="preserve">Подготовительный этап: [сумма] рублей</w:t>
      </w:r>
    </w:p>
    <w:p>
      <w:pPr>
        <w:pStyle w:val="Compact"/>
        <w:numPr>
          <w:ilvl w:val="0"/>
          <w:numId w:val="1006"/>
        </w:numPr>
      </w:pPr>
      <w:r>
        <w:t xml:space="preserve">Прототипирование (основные страницы): [сумма] рублей</w:t>
      </w:r>
    </w:p>
    <w:p>
      <w:pPr>
        <w:pStyle w:val="Compact"/>
        <w:numPr>
          <w:ilvl w:val="0"/>
          <w:numId w:val="1006"/>
        </w:numPr>
      </w:pPr>
      <w:r>
        <w:t xml:space="preserve">Прототипирование (юридические страницы): [сумма] рублей</w:t>
      </w:r>
    </w:p>
    <w:p>
      <w:pPr>
        <w:pStyle w:val="Compact"/>
        <w:numPr>
          <w:ilvl w:val="0"/>
          <w:numId w:val="1006"/>
        </w:numPr>
      </w:pPr>
      <w:r>
        <w:t xml:space="preserve">Прототипирование (личный кабинет): [сумма] рублей</w:t>
      </w:r>
    </w:p>
    <w:p>
      <w:pPr>
        <w:pStyle w:val="FirstParagraph"/>
      </w:pPr>
      <w:r>
        <w:rPr>
          <w:b/>
          <w:bCs/>
        </w:rPr>
        <w:t xml:space="preserve">3.2.</w:t>
      </w:r>
      <w:r>
        <w:t xml:space="preserve"> </w:t>
      </w:r>
      <w:r>
        <w:t xml:space="preserve">Оплата производится путем предоплаты 50% стоимости работ в соответствии с п. 3.1 Настоящего Приложения. Оставшиеся 50% стоимости оплачиваются в течение трёх рабочих дней с момента подписания Акта об оказанных услугах.</w:t>
      </w:r>
    </w:p>
    <w:p>
      <w:r>
        <w:pict>
          <v:rect style="width:0;height:1.5pt" o:hralign="center" o:hrstd="t" o:hr="t"/>
        </w:pict>
      </w:r>
    </w:p>
    <w:bookmarkEnd w:id="15"/>
    <w:bookmarkStart w:id="16" w:name="план-график-проведения-работ"/>
    <w:p>
      <w:pPr>
        <w:pStyle w:val="Heading2"/>
      </w:pPr>
      <w:r>
        <w:t xml:space="preserve">4. ПЛАН-ГРАФИК ПРОВЕДЕНИЯ РАБОТ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В течение [срок] рабочих дней с момента начала работ в соответствии с п. 2.1 Настоящего Приложения Исполнитель обязан предоставить:</w:t>
      </w:r>
    </w:p>
    <w:p>
      <w:pPr>
        <w:pStyle w:val="Compact"/>
        <w:numPr>
          <w:ilvl w:val="0"/>
          <w:numId w:val="1007"/>
        </w:numPr>
      </w:pPr>
      <w:r>
        <w:t xml:space="preserve">Материалы подготовительного этапа (анализ конкурентов, лучшие практики)</w:t>
      </w:r>
    </w:p>
    <w:p>
      <w:pPr>
        <w:pStyle w:val="Compact"/>
        <w:numPr>
          <w:ilvl w:val="0"/>
          <w:numId w:val="1007"/>
        </w:numPr>
      </w:pPr>
      <w:r>
        <w:t xml:space="preserve">Детализированное техническое задание</w:t>
      </w:r>
    </w:p>
    <w:p>
      <w:pPr>
        <w:pStyle w:val="Compact"/>
        <w:numPr>
          <w:ilvl w:val="0"/>
          <w:numId w:val="1007"/>
        </w:numPr>
      </w:pPr>
      <w:r>
        <w:t xml:space="preserve">Прототип Главной страницы (п. 1.1.2 Настоящего Приложения)</w:t>
      </w:r>
    </w:p>
    <w:p>
      <w:pPr>
        <w:pStyle w:val="FirstParagraph"/>
      </w:pPr>
      <w:r>
        <w:rPr>
          <w:b/>
          <w:bCs/>
        </w:rPr>
        <w:t xml:space="preserve">4.2.</w:t>
      </w:r>
      <w:r>
        <w:t xml:space="preserve"> </w:t>
      </w:r>
      <w:r>
        <w:t xml:space="preserve">В течение 3 рабочих дней, начиная со дня, следующего после даты отправки материалов (в соответствии с п. 4.1 Настоящего Приложения), Заказчик обязан утвердить результат работы или направить набор мотивированных замечаний Исполнителю. При этом допускается не более 2-х циклов замечаний. Одним циклом замечаний считается набор замечаний, присланных Заказчиком в одном электронном письме.</w:t>
      </w:r>
    </w:p>
    <w:p>
      <w:pPr>
        <w:pStyle w:val="BodyText"/>
      </w:pPr>
      <w:r>
        <w:rPr>
          <w:b/>
          <w:bCs/>
        </w:rPr>
        <w:t xml:space="preserve">4.3.</w:t>
      </w:r>
      <w:r>
        <w:t xml:space="preserve"> </w:t>
      </w:r>
      <w:r>
        <w:t xml:space="preserve">При наличии замечаний согласно п. 4.2 Настоящего Приложения, Исполнитель обязан их устранить в течение 3-х рабочих дней. После отправки Исполнителем Заказчику измененных материалов, цикл утверждения или направления Заказчиком мотивированных замечаний повторяется согласно п. 4.2 Настоящего Приложения.</w:t>
      </w:r>
    </w:p>
    <w:p>
      <w:pPr>
        <w:pStyle w:val="BodyText"/>
      </w:pPr>
      <w:r>
        <w:rPr>
          <w:b/>
          <w:bCs/>
        </w:rPr>
        <w:t xml:space="preserve">4.4.</w:t>
      </w:r>
      <w:r>
        <w:t xml:space="preserve"> </w:t>
      </w:r>
      <w:r>
        <w:t xml:space="preserve">После утверждения Заказчиком прототипа Главной страницы и материалов подготовительного этапа (п. 4.1 Настоящего Приложения), Исполнитель обязан в течение [срок] рабочих дней предоставить прототипы остальных страниц (согласно п. 1.1.2 Настоящего Приложения).</w:t>
      </w:r>
    </w:p>
    <w:p>
      <w:pPr>
        <w:pStyle w:val="BodyText"/>
      </w:pPr>
      <w:r>
        <w:rPr>
          <w:b/>
          <w:bCs/>
        </w:rPr>
        <w:t xml:space="preserve">4.5.</w:t>
      </w:r>
      <w:r>
        <w:t xml:space="preserve"> </w:t>
      </w:r>
      <w:r>
        <w:t xml:space="preserve">В течение 5 рабочих дней, начиная со дня, следующего после даты отправки прототипов (в соответствии с п. 4.4 Настоящего Приложения), Заказчик обязан утвердить результат работы или направить набор мотивированных замечаний Исполнителю. При этом допускается не более 2-х циклов замечаний. Одним циклом замечаний считается набор замечаний, присланных Заказчиком в одном электронном письме. Каждый цикл замечаний допускает набор замечаний, направленный как на один из присланных Исполнителем прототипов, так и на несколько.</w:t>
      </w:r>
    </w:p>
    <w:p>
      <w:pPr>
        <w:pStyle w:val="BodyText"/>
      </w:pPr>
      <w:r>
        <w:rPr>
          <w:b/>
          <w:bCs/>
        </w:rPr>
        <w:t xml:space="preserve">4.6.</w:t>
      </w:r>
      <w:r>
        <w:t xml:space="preserve"> </w:t>
      </w:r>
      <w:r>
        <w:t xml:space="preserve">При наличии замечаний согласно п. 4.5 Настоящего Приложения, Исполнитель обязан их устранить в течение 5-ти рабочих дней. После отправки Исполнителем Заказчику измененных прототипов, цикл утверждения или направления Заказчиком мотивированных замечаний повторяется согласно п. 4.5 Настоящего Приложения.</w:t>
      </w:r>
    </w:p>
    <w:p>
      <w:pPr>
        <w:pStyle w:val="BodyText"/>
      </w:pPr>
      <w:r>
        <w:rPr>
          <w:b/>
          <w:bCs/>
        </w:rPr>
        <w:t xml:space="preserve">4.7.</w:t>
      </w:r>
      <w:r>
        <w:t xml:space="preserve"> </w:t>
      </w:r>
      <w:r>
        <w:t xml:space="preserve">После утверждения Заказчиком всех прототипов (п. 1.1 Настоящего Приложения) работа считается выполненной, что подтверждается подписью Актов об оказанных услугах или Актов о выполненных работах.</w:t>
      </w:r>
    </w:p>
    <w:p>
      <w:r>
        <w:pict>
          <v:rect style="width:0;height:1.5pt" o:hralign="center" o:hrstd="t" o:hr="t"/>
        </w:pict>
      </w:r>
    </w:p>
    <w:bookmarkEnd w:id="16"/>
    <w:bookmarkStart w:id="17" w:name="ответственность-сторон"/>
    <w:p>
      <w:pPr>
        <w:pStyle w:val="Heading2"/>
      </w:pPr>
      <w:r>
        <w:t xml:space="preserve">5. ОТВЕТСТВЕННОСТЬ СТОРОН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Данный раздел описывает набор условий, направленных на регулирование двухсторонней ответственности между Заказчиком и Исполнителем за несоблюдение сроков и условий п. 4 Настоящего Приложения.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За нарушение Исполнителем сроков плана-графика передачи результатов работ Заказчику Исполнитель несет ответственность в размере [размер неустойки] за каждый день просрочки.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Общая сумма за каждый день просрочки Исполнителя может быть вычтена Заказчиком из оставшейся стоимости работ согласно п. 3.2 Настоящего Приложения.</w:t>
      </w:r>
    </w:p>
    <w:p>
      <w:pPr>
        <w:pStyle w:val="BodyText"/>
      </w:pPr>
      <w:r>
        <w:rPr>
          <w:b/>
          <w:bCs/>
        </w:rPr>
        <w:t xml:space="preserve">5.4.</w:t>
      </w:r>
      <w:r>
        <w:t xml:space="preserve"> </w:t>
      </w:r>
      <w:r>
        <w:t xml:space="preserve">За нарушение Заказчиком сроков плана-графика утверждения результатов работ Исполнителя Заказчик несет ответственность в размере [размер неустойки] за каждый день просрочки.</w:t>
      </w:r>
    </w:p>
    <w:p>
      <w:pPr>
        <w:pStyle w:val="BodyText"/>
      </w:pPr>
      <w:r>
        <w:rPr>
          <w:b/>
          <w:bCs/>
        </w:rPr>
        <w:t xml:space="preserve">5.5.</w:t>
      </w:r>
      <w:r>
        <w:t xml:space="preserve"> </w:t>
      </w:r>
      <w:r>
        <w:t xml:space="preserve">Общая сумма за каждый день просрочки Заказчика должна быть уплачена Заказчиком сверх стоимости работ согласно п. 3.1 Настоящего Приложения.</w:t>
      </w:r>
    </w:p>
    <w:p>
      <w:pPr>
        <w:pStyle w:val="BodyText"/>
      </w:pPr>
      <w:r>
        <w:rPr>
          <w:b/>
          <w:bCs/>
        </w:rPr>
        <w:t xml:space="preserve">5.6.</w:t>
      </w:r>
      <w:r>
        <w:t xml:space="preserve"> </w:t>
      </w:r>
      <w:r>
        <w:t xml:space="preserve">Общая сумма за каждый день просрочки как Заказчика, так и Исполнителя не может превышать 50% стоимости работ согласно п. 3.1 Настоящего Приложения.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ИСПОЛНИТЕЛЬ:</w:t>
      </w:r>
    </w:p>
    <w:p>
      <w:pPr>
        <w:pStyle w:val="BodyText"/>
      </w:pPr>
      <w:r>
        <w:t xml:space="preserve">___________________ / [Фамилия И. О.]</w:t>
      </w:r>
    </w:p>
    <w:p>
      <w:pPr>
        <w:pStyle w:val="BodyText"/>
      </w:pPr>
      <w:r>
        <w:rPr>
          <w:b/>
          <w:bCs/>
        </w:rPr>
        <w:t xml:space="preserve">ЗАКАЗЧИК:</w:t>
      </w:r>
    </w:p>
    <w:p>
      <w:pPr>
        <w:pStyle w:val="BodyText"/>
      </w:pPr>
      <w:r>
        <w:t xml:space="preserve">___________________ / [Фамилия И. О.]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0" w:before="0" w:line="288" w:lineRule="auto"/>
    </w:pPr>
    <w:rPr>
      <w:rFonts w:ascii="Arial" w:cs="Arial" w:eastAsia="Arial" w:hAnsi="Arial"/>
      <w:sz w:val="22"/>
      <w:szCs w:val="22"/>
      <w:color w:val="1A1A1A"/>
    </w:rPr>
  </w:style>
  <w:style w:styleId="BodyText" w:type="paragraph">
    <w:name w:val="Body Text"/>
    <w:basedOn w:val="Normal"/>
    <w:link w:val="BodyTextChar"/>
    <w:qFormat/>
    <w:pPr>
      <w:spacing w:after="22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 w:line="288" w:lineRule="auto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cs="Arial" w:eastAsia="Arial" w:hAnsi="Arial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="Arial" w:eastAsia="Arial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40" w:before="600" w:line="276" w:lineRule="auto"/>
      <w:outlineLvl w:val="0"/>
    </w:pPr>
    <w:rPr>
      <w:b/>
      <w:bCs/>
      <w:rFonts w:ascii="Arial" w:cs="Arial" w:eastAsia="Arial" w:hAnsi="Arial"/>
      <w:color w:val="111111"/>
      <w:sz w:val="34"/>
      <w:szCs w:val="34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200" w:before="480" w:line="276" w:lineRule="auto"/>
      <w:outlineLvl w:val="1"/>
    </w:pPr>
    <w:rPr>
      <w:b/>
      <w:bCs/>
      <w:rFonts w:ascii="Arial" w:cs="Arial" w:eastAsia="Arial" w:hAnsi="Arial"/>
      <w:color w:val="111111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60" w:before="400" w:line="276" w:lineRule="auto"/>
      <w:outlineLvl w:val="2"/>
    </w:pPr>
    <w:rPr>
      <w:b/>
      <w:bCs/>
      <w:rFonts w:ascii="Arial" w:cs="Arial" w:eastAsia="Arial" w:hAnsi="Arial"/>
      <w:color w:val="111111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320" w:line="276" w:lineRule="auto"/>
      <w:outlineLvl w:val="3"/>
    </w:pPr>
    <w:rPr>
      <w:b/>
      <w:bCs/>
      <w:rFonts w:ascii="Arial" w:cs="Arial" w:eastAsia="Arial" w:hAnsi="Arial"/>
      <w:i/>
      <w:iCs/>
      <w:color w:val="11111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="Arial" w:eastAsia="Arial" w:hAnsi="Arial"/>
      <w:color w:val="11111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="Arial" w:eastAsia="Arial" w:hAnsi="Arial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="Arial" w:eastAsia="Arial" w:hAnsi="Arial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="Arial" w:eastAsia="Arial" w:hAnsi="Arial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="Arial" w:eastAsia="Arial" w:hAnsi="Arial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11111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11111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11111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11111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11111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8" w:val="single"/>
        <w:left w:color="555555" w:space="0" w:sz="8" w:val="single"/>
        <w:bottom w:color="555555" w:space="0" w:sz="8" w:val="single"/>
        <w:right w:color="555555" w:space="0" w:sz="8" w:val="single"/>
        <w:insideH w:color="888888" w:space="0" w:sz="6" w:val="single"/>
        <w:insideV w:color="888888" w:space="0" w:sz="6" w:val="single"/>
      </w:tblBorders>
      <w:tblCellMar>
        <w:top w:type="dxa" w:w="80"/>
        <w:left w:type="dxa" w:w="120"/>
        <w:bottom w:type="dxa" w:w="80"/>
        <w:right w:type="dxa" w:w="120"/>
      </w:tblCellMar>
    </w:tblPr>
    <w:tblStylePr w:type="firstRow">
      <w:rPr>
        <w:b/>
        <w:bCs/>
      </w:rPr>
      <w:tcPr>
        <w:shd w:color="auto" w:fill="EDEDED" w:val="clear"/>
        <w:tcBorders>
          <w:bottom w:color="333333" w:space="0" w:sz="12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2026-09-26T09:42:31Z</dcterms:created>
  <dcterms:modified xsi:type="dcterms:W3CDTF">2026-09-26T09:42:31Z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